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«СтройДиалог-восток»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«СтройДиалог-восток»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406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7720531689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1057747635835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29.07.2005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09.03.2021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Пойгонков Александр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111402, г.Москва, ул.Кетчерская, дом 13, стр.3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выявлены нарушения; 2015 - нарушений не выявлено; 2016 - нарушений не выявлено; 2017 - нарушений не выявлено; 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